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96" w:rsidRPr="00A36324" w:rsidRDefault="00340596" w:rsidP="00340596">
      <w:pPr>
        <w:spacing w:after="0" w:line="240" w:lineRule="auto"/>
        <w:ind w:left="1134"/>
        <w:rPr>
          <w:rFonts w:ascii="Times New Roman" w:eastAsia="Times New Roman" w:hAnsi="Times New Roman"/>
          <w:b/>
          <w:sz w:val="24"/>
          <w:szCs w:val="24"/>
          <w:lang w:eastAsia="fr-BE"/>
        </w:rPr>
      </w:pPr>
    </w:p>
    <w:p w:rsidR="00340596" w:rsidRDefault="00340596" w:rsidP="00340596">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COMMUNE DE 4357</w:t>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r>
      <w:r>
        <w:rPr>
          <w:rFonts w:ascii="Times New Roman" w:eastAsia="Times New Roman" w:hAnsi="Times New Roman"/>
          <w:sz w:val="24"/>
          <w:szCs w:val="24"/>
          <w:lang w:eastAsia="fr-BE"/>
        </w:rPr>
        <w:tab/>
        <w:t xml:space="preserve">       Donceel, le 26 avril 2023</w:t>
      </w:r>
      <w:r w:rsidRPr="00A36324">
        <w:rPr>
          <w:rFonts w:ascii="Times New Roman" w:eastAsia="Times New Roman" w:hAnsi="Times New Roman"/>
          <w:sz w:val="24"/>
          <w:szCs w:val="24"/>
          <w:lang w:eastAsia="fr-BE"/>
        </w:rPr>
        <w:t xml:space="preserve">     </w:t>
      </w:r>
    </w:p>
    <w:p w:rsidR="00340596" w:rsidRPr="00A36324" w:rsidRDefault="00340596" w:rsidP="00340596">
      <w:pPr>
        <w:spacing w:after="0" w:line="240" w:lineRule="auto"/>
        <w:ind w:left="1134"/>
        <w:rPr>
          <w:rFonts w:ascii="Times New Roman" w:eastAsia="Times New Roman" w:hAnsi="Times New Roman"/>
          <w:sz w:val="24"/>
          <w:szCs w:val="24"/>
          <w:lang w:eastAsia="fr-BE"/>
        </w:rPr>
      </w:pPr>
      <w:r w:rsidRPr="00A36324">
        <w:rPr>
          <w:rFonts w:ascii="Times New Roman" w:eastAsia="Times New Roman" w:hAnsi="Times New Roman"/>
          <w:b/>
          <w:sz w:val="24"/>
          <w:szCs w:val="24"/>
          <w:lang w:eastAsia="fr-BE"/>
        </w:rPr>
        <w:t>DONCEEL</w:t>
      </w:r>
      <w:r w:rsidRPr="00A36324">
        <w:rPr>
          <w:rFonts w:ascii="Times New Roman" w:eastAsia="Times New Roman" w:hAnsi="Times New Roman"/>
          <w:sz w:val="24"/>
          <w:szCs w:val="24"/>
          <w:lang w:eastAsia="fr-BE"/>
        </w:rPr>
        <w:br/>
      </w:r>
      <w:r w:rsidRPr="00A36324">
        <w:rPr>
          <w:rFonts w:ascii="Times New Roman" w:eastAsia="Times New Roman" w:hAnsi="Times New Roman"/>
          <w:b/>
          <w:sz w:val="24"/>
          <w:szCs w:val="24"/>
          <w:lang w:eastAsia="fr-BE"/>
        </w:rPr>
        <w:t xml:space="preserve">                          CONVOCATION DU CONSEIL COMMUNAL</w:t>
      </w:r>
    </w:p>
    <w:p w:rsidR="00340596" w:rsidRPr="00A36324" w:rsidRDefault="00340596" w:rsidP="00340596">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w:t>
      </w:r>
    </w:p>
    <w:p w:rsidR="00340596" w:rsidRDefault="00340596" w:rsidP="00340596">
      <w:pPr>
        <w:spacing w:after="0" w:line="240" w:lineRule="auto"/>
        <w:ind w:left="567"/>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Conformément aux articles L1122-12 et L1122-13 du code de la démocratie locale et de la décentralisation, nous avons l'honneur de vous convoquer à la séance du Conseil qui aura lieu</w:t>
      </w:r>
      <w:r w:rsidRPr="00A36324">
        <w:rPr>
          <w:rFonts w:ascii="Times New Roman" w:eastAsia="Times New Roman" w:hAnsi="Times New Roman"/>
          <w:b/>
          <w:sz w:val="24"/>
          <w:szCs w:val="24"/>
          <w:lang w:eastAsia="fr-BE"/>
        </w:rPr>
        <w:t xml:space="preserve"> </w:t>
      </w:r>
      <w:r w:rsidRPr="00A36324">
        <w:rPr>
          <w:rFonts w:ascii="Times New Roman" w:eastAsia="Times New Roman" w:hAnsi="Times New Roman"/>
          <w:sz w:val="24"/>
          <w:szCs w:val="24"/>
          <w:lang w:eastAsia="fr-BE"/>
        </w:rPr>
        <w:t xml:space="preserve">le </w:t>
      </w:r>
      <w:r w:rsidRPr="006A6C5E">
        <w:rPr>
          <w:rFonts w:ascii="Times New Roman" w:eastAsia="Times New Roman" w:hAnsi="Times New Roman"/>
          <w:b/>
          <w:color w:val="FF0000"/>
          <w:sz w:val="24"/>
          <w:szCs w:val="24"/>
          <w:lang w:eastAsia="fr-BE"/>
        </w:rPr>
        <w:t>jeudi</w:t>
      </w:r>
      <w:r>
        <w:rPr>
          <w:rFonts w:ascii="Times New Roman" w:eastAsia="Times New Roman" w:hAnsi="Times New Roman"/>
          <w:b/>
          <w:color w:val="FF0000"/>
          <w:sz w:val="24"/>
          <w:szCs w:val="24"/>
          <w:lang w:eastAsia="fr-BE"/>
        </w:rPr>
        <w:t xml:space="preserve"> 4 mai 2023</w:t>
      </w:r>
      <w:r w:rsidRPr="00A36324">
        <w:rPr>
          <w:rFonts w:ascii="Times New Roman" w:eastAsia="Times New Roman" w:hAnsi="Times New Roman"/>
          <w:color w:val="FF0000"/>
          <w:sz w:val="24"/>
          <w:szCs w:val="24"/>
          <w:lang w:eastAsia="fr-BE"/>
        </w:rPr>
        <w:t xml:space="preserve"> </w:t>
      </w:r>
      <w:r w:rsidRPr="006A6C5E">
        <w:rPr>
          <w:rFonts w:ascii="Times New Roman" w:eastAsia="Times New Roman" w:hAnsi="Times New Roman"/>
          <w:sz w:val="24"/>
          <w:szCs w:val="24"/>
          <w:lang w:eastAsia="fr-BE"/>
        </w:rPr>
        <w:t xml:space="preserve">à </w:t>
      </w:r>
      <w:r w:rsidRPr="006A6C5E">
        <w:rPr>
          <w:rFonts w:ascii="Times New Roman" w:eastAsia="Times New Roman" w:hAnsi="Times New Roman"/>
          <w:b/>
          <w:sz w:val="24"/>
          <w:szCs w:val="24"/>
          <w:lang w:eastAsia="fr-BE"/>
        </w:rPr>
        <w:t>20h</w:t>
      </w:r>
      <w:r>
        <w:rPr>
          <w:rFonts w:ascii="Times New Roman" w:eastAsia="Times New Roman" w:hAnsi="Times New Roman"/>
          <w:sz w:val="24"/>
          <w:szCs w:val="24"/>
          <w:lang w:eastAsia="fr-BE"/>
        </w:rPr>
        <w:t xml:space="preserve"> dans la salle du Conseil communal</w:t>
      </w:r>
    </w:p>
    <w:p w:rsidR="00340596" w:rsidRPr="00A36324" w:rsidRDefault="00340596" w:rsidP="00340596">
      <w:pPr>
        <w:spacing w:after="0" w:line="240" w:lineRule="auto"/>
        <w:ind w:left="567"/>
        <w:rPr>
          <w:rFonts w:ascii="Times New Roman" w:eastAsia="Times New Roman" w:hAnsi="Times New Roman"/>
          <w:sz w:val="24"/>
          <w:szCs w:val="24"/>
          <w:lang w:eastAsia="fr-BE"/>
        </w:rPr>
      </w:pPr>
    </w:p>
    <w:p w:rsidR="00340596" w:rsidRPr="00A36324" w:rsidRDefault="00340596" w:rsidP="00340596">
      <w:pPr>
        <w:pBdr>
          <w:top w:val="single" w:sz="4" w:space="1" w:color="auto"/>
          <w:left w:val="single" w:sz="4" w:space="4" w:color="auto"/>
          <w:bottom w:val="single" w:sz="4" w:space="1" w:color="auto"/>
          <w:right w:val="single" w:sz="4" w:space="4" w:color="auto"/>
        </w:pBdr>
        <w:spacing w:after="0" w:line="240" w:lineRule="auto"/>
        <w:ind w:left="567"/>
        <w:rPr>
          <w:rFonts w:ascii="Times New Roman" w:eastAsia="Times New Roman" w:hAnsi="Times New Roman"/>
          <w:i/>
          <w:sz w:val="20"/>
          <w:szCs w:val="20"/>
          <w:lang w:eastAsia="fr-BE"/>
        </w:rPr>
      </w:pPr>
      <w:r w:rsidRPr="00A36324">
        <w:rPr>
          <w:rFonts w:ascii="Times New Roman" w:eastAsia="Times New Roman" w:hAnsi="Times New Roman"/>
          <w:i/>
          <w:sz w:val="20"/>
          <w:szCs w:val="20"/>
          <w:lang w:eastAsia="fr-BE"/>
        </w:rPr>
        <w:t>Art.l1122-17 de la CDLD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340596" w:rsidRDefault="00340596" w:rsidP="00340596">
      <w:pPr>
        <w:spacing w:after="0" w:line="240" w:lineRule="auto"/>
        <w:ind w:left="567"/>
        <w:jc w:val="center"/>
        <w:rPr>
          <w:rFonts w:ascii="Times New Roman" w:eastAsia="Times New Roman" w:hAnsi="Times New Roman"/>
          <w:sz w:val="24"/>
          <w:szCs w:val="24"/>
          <w:lang w:eastAsia="fr-BE"/>
        </w:rPr>
      </w:pPr>
    </w:p>
    <w:p w:rsidR="00340596" w:rsidRPr="004F31F7" w:rsidRDefault="00340596" w:rsidP="00340596">
      <w:pPr>
        <w:spacing w:after="0" w:line="240" w:lineRule="auto"/>
        <w:ind w:left="567"/>
        <w:jc w:val="center"/>
        <w:rPr>
          <w:rFonts w:ascii="Times New Roman" w:eastAsia="Times New Roman" w:hAnsi="Times New Roman"/>
          <w:sz w:val="24"/>
          <w:szCs w:val="24"/>
          <w:lang w:eastAsia="fr-BE"/>
        </w:rPr>
      </w:pPr>
      <w:r w:rsidRPr="00A36324">
        <w:rPr>
          <w:rFonts w:ascii="Times New Roman" w:eastAsia="Times New Roman" w:hAnsi="Times New Roman"/>
          <w:sz w:val="24"/>
          <w:szCs w:val="24"/>
          <w:lang w:eastAsia="fr-BE"/>
        </w:rPr>
        <w:t xml:space="preserve">L'ORDRE DU JOUR (1ère convocation) de cette assemblée est reproduit ci-après : </w:t>
      </w:r>
    </w:p>
    <w:p w:rsidR="00340596" w:rsidRDefault="00340596" w:rsidP="00F51567">
      <w:pPr>
        <w:spacing w:after="40" w:line="240" w:lineRule="auto"/>
        <w:ind w:left="357"/>
        <w:rPr>
          <w:rFonts w:ascii="Times New Roman" w:eastAsia="Times New Roman" w:hAnsi="Times New Roman"/>
          <w:i/>
          <w:sz w:val="24"/>
          <w:szCs w:val="24"/>
          <w:lang w:eastAsia="fr-BE"/>
        </w:rPr>
      </w:pP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r>
        <w:rPr>
          <w:rFonts w:ascii="Times New Roman" w:eastAsia="Times New Roman" w:hAnsi="Times New Roman"/>
          <w:i/>
          <w:sz w:val="24"/>
          <w:szCs w:val="24"/>
          <w:lang w:eastAsia="fr-BE"/>
        </w:rPr>
        <w:tab/>
      </w:r>
      <w:bookmarkStart w:id="0" w:name="_GoBack"/>
      <w:bookmarkEnd w:id="0"/>
    </w:p>
    <w:p w:rsidR="00340596" w:rsidRPr="00F039F0" w:rsidRDefault="00340596" w:rsidP="00340596">
      <w:pPr>
        <w:spacing w:after="40" w:line="240" w:lineRule="auto"/>
        <w:ind w:left="357"/>
        <w:jc w:val="center"/>
        <w:rPr>
          <w:rFonts w:ascii="Times New Roman" w:eastAsia="Times New Roman" w:hAnsi="Times New Roman"/>
          <w:b/>
          <w:i/>
          <w:sz w:val="24"/>
          <w:szCs w:val="24"/>
          <w:u w:val="single"/>
          <w:lang w:eastAsia="fr-BE"/>
        </w:rPr>
      </w:pPr>
      <w:r>
        <w:rPr>
          <w:rFonts w:ascii="Times New Roman" w:eastAsia="Times New Roman" w:hAnsi="Times New Roman"/>
          <w:b/>
          <w:i/>
          <w:sz w:val="24"/>
          <w:szCs w:val="24"/>
          <w:u w:val="single"/>
          <w:lang w:eastAsia="fr-BE"/>
        </w:rPr>
        <w:t>S</w:t>
      </w:r>
      <w:r w:rsidRPr="00A36324">
        <w:rPr>
          <w:rFonts w:ascii="Times New Roman" w:eastAsia="Times New Roman" w:hAnsi="Times New Roman"/>
          <w:b/>
          <w:i/>
          <w:sz w:val="24"/>
          <w:szCs w:val="24"/>
          <w:u w:val="single"/>
          <w:lang w:eastAsia="fr-BE"/>
        </w:rPr>
        <w:t>éance Publique</w:t>
      </w:r>
    </w:p>
    <w:p w:rsidR="00340596" w:rsidRPr="001A540C" w:rsidRDefault="00340596" w:rsidP="00340596">
      <w:pPr>
        <w:spacing w:after="40" w:line="240" w:lineRule="auto"/>
        <w:ind w:left="357"/>
        <w:rPr>
          <w:rFonts w:ascii="Times New Roman" w:eastAsia="Times New Roman" w:hAnsi="Times New Roman"/>
          <w:i/>
          <w:sz w:val="24"/>
          <w:szCs w:val="24"/>
          <w:u w:val="single"/>
          <w:lang w:eastAsia="fr-BE"/>
        </w:rPr>
      </w:pPr>
    </w:p>
    <w:p w:rsidR="00340596" w:rsidRDefault="00340596" w:rsidP="00340596">
      <w:pPr>
        <w:numPr>
          <w:ilvl w:val="0"/>
          <w:numId w:val="1"/>
        </w:numPr>
        <w:spacing w:after="40" w:line="240" w:lineRule="auto"/>
        <w:rPr>
          <w:rFonts w:ascii="Times New Roman" w:eastAsia="Times New Roman" w:hAnsi="Times New Roman"/>
          <w:sz w:val="24"/>
          <w:szCs w:val="24"/>
          <w:lang w:eastAsia="fr-BE"/>
        </w:rPr>
      </w:pPr>
      <w:r w:rsidRPr="007E4F6B">
        <w:rPr>
          <w:rFonts w:ascii="Times New Roman" w:eastAsia="Times New Roman" w:hAnsi="Times New Roman"/>
          <w:sz w:val="24"/>
          <w:szCs w:val="24"/>
          <w:lang w:eastAsia="fr-BE"/>
        </w:rPr>
        <w:t>PV de la séance précédente – Approbation</w:t>
      </w:r>
    </w:p>
    <w:p w:rsidR="00340596"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 xml:space="preserve">Budget 2023 – Modifications budgétaires </w:t>
      </w:r>
      <w:r w:rsidR="00F51567">
        <w:rPr>
          <w:rFonts w:eastAsia="Calibri"/>
          <w:kern w:val="3"/>
          <w:sz w:val="24"/>
          <w:szCs w:val="24"/>
        </w:rPr>
        <w:t>ordinaire et extraordinaire n° 1</w:t>
      </w:r>
      <w:r>
        <w:rPr>
          <w:rFonts w:eastAsia="Calibri"/>
          <w:kern w:val="3"/>
          <w:sz w:val="24"/>
          <w:szCs w:val="24"/>
        </w:rPr>
        <w:t xml:space="preserve"> – Approbation</w:t>
      </w:r>
    </w:p>
    <w:p w:rsidR="00B21D5A"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Financement global du programme extraordinaire 2021-2023 – 2</w:t>
      </w:r>
      <w:r w:rsidRPr="00B21D5A">
        <w:rPr>
          <w:rFonts w:eastAsia="Calibri"/>
          <w:kern w:val="3"/>
          <w:sz w:val="24"/>
          <w:szCs w:val="24"/>
          <w:vertAlign w:val="superscript"/>
        </w:rPr>
        <w:t>ème</w:t>
      </w:r>
      <w:r>
        <w:rPr>
          <w:rFonts w:eastAsia="Calibri"/>
          <w:kern w:val="3"/>
          <w:sz w:val="24"/>
          <w:szCs w:val="24"/>
        </w:rPr>
        <w:t xml:space="preserve"> répétition de services similaires</w:t>
      </w:r>
    </w:p>
    <w:p w:rsidR="00B21D5A"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Délégation du Conseil communal au profit du Collège communal pour la passation des marchés publics ordinaires et extraordinaires</w:t>
      </w:r>
    </w:p>
    <w:p w:rsidR="00B21D5A"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Marché public de fournitures – Acquisition de copieurs/imprimantes pour les services administratifs et les écoles communales – Approbation des conditions et du mode de passation</w:t>
      </w:r>
    </w:p>
    <w:p w:rsidR="00B21D5A"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Marché public de fournitures – Acquisition de praticables pour l’évènementiel communal – Approbation des conditions et du mode de passation</w:t>
      </w:r>
    </w:p>
    <w:p w:rsidR="00B21D5A" w:rsidRDefault="00B21D5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 xml:space="preserve">Marché public de services – Mise </w:t>
      </w:r>
      <w:r w:rsidR="000F39A0">
        <w:rPr>
          <w:rFonts w:eastAsia="Calibri"/>
          <w:kern w:val="3"/>
          <w:sz w:val="24"/>
          <w:szCs w:val="24"/>
        </w:rPr>
        <w:t>en centre enfouissement technique (CET) – Approbation des conditions et du mode de passation</w:t>
      </w:r>
    </w:p>
    <w:p w:rsidR="000F39A0" w:rsidRDefault="000F39A0"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ADL – Modification des statuts - Approbation</w:t>
      </w:r>
    </w:p>
    <w:p w:rsidR="000F39A0" w:rsidRPr="000F39A0" w:rsidRDefault="000F39A0" w:rsidP="00340596">
      <w:pPr>
        <w:pStyle w:val="Paragraphedeliste"/>
        <w:widowControl w:val="0"/>
        <w:numPr>
          <w:ilvl w:val="0"/>
          <w:numId w:val="1"/>
        </w:numPr>
        <w:suppressAutoHyphens/>
        <w:autoSpaceDN w:val="0"/>
        <w:textAlignment w:val="baseline"/>
        <w:rPr>
          <w:rFonts w:eastAsia="Calibri"/>
          <w:kern w:val="3"/>
          <w:sz w:val="24"/>
          <w:szCs w:val="24"/>
        </w:rPr>
      </w:pPr>
      <w:r>
        <w:rPr>
          <w:sz w:val="24"/>
          <w:szCs w:val="24"/>
        </w:rPr>
        <w:t>ADL – Convention de partenariat – Approbation</w:t>
      </w:r>
    </w:p>
    <w:p w:rsidR="000F39A0" w:rsidRPr="008D499D" w:rsidRDefault="008D499D" w:rsidP="00340596">
      <w:pPr>
        <w:pStyle w:val="Paragraphedeliste"/>
        <w:widowControl w:val="0"/>
        <w:numPr>
          <w:ilvl w:val="0"/>
          <w:numId w:val="1"/>
        </w:numPr>
        <w:suppressAutoHyphens/>
        <w:autoSpaceDN w:val="0"/>
        <w:textAlignment w:val="baseline"/>
        <w:rPr>
          <w:rFonts w:eastAsia="Calibri"/>
          <w:kern w:val="3"/>
          <w:sz w:val="24"/>
          <w:szCs w:val="24"/>
        </w:rPr>
      </w:pPr>
      <w:r>
        <w:rPr>
          <w:sz w:val="24"/>
          <w:szCs w:val="24"/>
        </w:rPr>
        <w:t xml:space="preserve">ADL – Désignation des membres représentant la Commune à l’Agence de Développement Local suite à la modification des statuts </w:t>
      </w:r>
    </w:p>
    <w:p w:rsidR="008D499D" w:rsidRDefault="008D499D"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Octroi des subventions aux associations – Approbation des subventions accordées à l’ASBL des Templiers dans le cadre de la démarche de reconnaissance en Centre Sportif Local</w:t>
      </w:r>
    </w:p>
    <w:p w:rsidR="008D499D" w:rsidRPr="000F39A0" w:rsidRDefault="0098314A" w:rsidP="00340596">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Convention d’occupation entre l’Administration communale et l’USD</w:t>
      </w:r>
    </w:p>
    <w:p w:rsidR="000F39A0" w:rsidRPr="000F39A0" w:rsidRDefault="000F39A0" w:rsidP="000F39A0">
      <w:pPr>
        <w:widowControl w:val="0"/>
        <w:suppressAutoHyphens/>
        <w:autoSpaceDN w:val="0"/>
        <w:textAlignment w:val="baseline"/>
        <w:rPr>
          <w:kern w:val="3"/>
          <w:sz w:val="24"/>
          <w:szCs w:val="24"/>
        </w:rPr>
      </w:pPr>
    </w:p>
    <w:p w:rsidR="00340596" w:rsidRDefault="00340596" w:rsidP="00340596">
      <w:pPr>
        <w:pStyle w:val="Paragraphedeliste"/>
        <w:widowControl w:val="0"/>
        <w:suppressAutoHyphens/>
        <w:autoSpaceDN w:val="0"/>
        <w:ind w:left="1001"/>
        <w:textAlignment w:val="baseline"/>
        <w:rPr>
          <w:rFonts w:eastAsia="Calibri"/>
          <w:b/>
          <w:i/>
          <w:kern w:val="3"/>
          <w:sz w:val="24"/>
          <w:szCs w:val="24"/>
          <w:u w:val="single"/>
        </w:rPr>
      </w:pP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r>
      <w:r>
        <w:rPr>
          <w:rFonts w:eastAsia="Calibri"/>
          <w:kern w:val="3"/>
          <w:sz w:val="24"/>
          <w:szCs w:val="24"/>
        </w:rPr>
        <w:tab/>
        <w:t xml:space="preserve">     </w:t>
      </w:r>
      <w:r w:rsidRPr="004F31F7">
        <w:rPr>
          <w:rFonts w:eastAsia="Calibri"/>
          <w:b/>
          <w:i/>
          <w:kern w:val="3"/>
          <w:sz w:val="24"/>
          <w:szCs w:val="24"/>
          <w:highlight w:val="yellow"/>
          <w:u w:val="single"/>
        </w:rPr>
        <w:t>Huis-clos</w:t>
      </w:r>
    </w:p>
    <w:p w:rsidR="0098314A" w:rsidRDefault="0098314A" w:rsidP="0098314A">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CCATM – Démission des fonctions de la secrétaire de séance au sein de la commission</w:t>
      </w:r>
    </w:p>
    <w:p w:rsidR="0098314A" w:rsidRDefault="0098314A" w:rsidP="0098314A">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Ratification désignation à titre temporaire d’une institutrice maternelle, pour 6 P/S, le 30/01/2023 dans le remplacement de la titulaire, malade</w:t>
      </w:r>
    </w:p>
    <w:p w:rsidR="0098314A" w:rsidRDefault="0098314A" w:rsidP="0098314A">
      <w:pPr>
        <w:pStyle w:val="Paragraphedeliste"/>
        <w:widowControl w:val="0"/>
        <w:numPr>
          <w:ilvl w:val="0"/>
          <w:numId w:val="1"/>
        </w:numPr>
        <w:suppressAutoHyphens/>
        <w:autoSpaceDN w:val="0"/>
        <w:textAlignment w:val="baseline"/>
        <w:rPr>
          <w:rFonts w:eastAsia="Calibri"/>
          <w:kern w:val="3"/>
          <w:sz w:val="24"/>
          <w:szCs w:val="24"/>
        </w:rPr>
      </w:pPr>
      <w:r>
        <w:rPr>
          <w:rFonts w:eastAsia="Calibri"/>
          <w:kern w:val="3"/>
          <w:sz w:val="24"/>
          <w:szCs w:val="24"/>
        </w:rPr>
        <w:t>Ratification désignation à titre temporaire d’une institutrice maternelle, pour 26 P/S, du 16/03/2023 au 17/03/2023 dans le remplacement de la titulaire, malade</w:t>
      </w:r>
    </w:p>
    <w:p w:rsidR="0098314A" w:rsidRPr="0098314A" w:rsidRDefault="0098314A" w:rsidP="0098314A">
      <w:pPr>
        <w:pStyle w:val="Paragraphedeliste"/>
        <w:widowControl w:val="0"/>
        <w:suppressAutoHyphens/>
        <w:autoSpaceDN w:val="0"/>
        <w:ind w:left="1001"/>
        <w:textAlignment w:val="baseline"/>
        <w:rPr>
          <w:rFonts w:eastAsia="Calibri"/>
          <w:kern w:val="3"/>
          <w:sz w:val="24"/>
          <w:szCs w:val="24"/>
        </w:rPr>
      </w:pPr>
    </w:p>
    <w:p w:rsidR="00340596" w:rsidRPr="004F31F7" w:rsidRDefault="00340596" w:rsidP="00340596">
      <w:pPr>
        <w:spacing w:after="40"/>
        <w:rPr>
          <w:sz w:val="24"/>
          <w:szCs w:val="24"/>
        </w:rPr>
      </w:pPr>
    </w:p>
    <w:p w:rsidR="00340596" w:rsidRDefault="00340596" w:rsidP="00340596">
      <w:pPr>
        <w:spacing w:after="40" w:line="240" w:lineRule="auto"/>
        <w:ind w:left="709"/>
        <w:jc w:val="center"/>
        <w:rPr>
          <w:rFonts w:ascii="Times New Roman" w:eastAsia="Times New Roman" w:hAnsi="Times New Roman"/>
          <w:sz w:val="24"/>
          <w:szCs w:val="24"/>
          <w:lang w:val="fr-FR" w:eastAsia="fr-BE"/>
        </w:rPr>
      </w:pPr>
      <w:r w:rsidRPr="00A36324">
        <w:rPr>
          <w:rFonts w:ascii="Times New Roman" w:eastAsia="Times New Roman" w:hAnsi="Times New Roman"/>
          <w:sz w:val="24"/>
          <w:szCs w:val="24"/>
          <w:lang w:val="fr-FR" w:eastAsia="fr-BE"/>
        </w:rPr>
        <w:t>Par le Co</w:t>
      </w:r>
      <w:r>
        <w:rPr>
          <w:rFonts w:ascii="Times New Roman" w:eastAsia="Times New Roman" w:hAnsi="Times New Roman"/>
          <w:sz w:val="24"/>
          <w:szCs w:val="24"/>
          <w:lang w:val="fr-FR" w:eastAsia="fr-BE"/>
        </w:rPr>
        <w:t>llège,</w:t>
      </w:r>
    </w:p>
    <w:p w:rsidR="00340596" w:rsidRDefault="00340596" w:rsidP="00340596">
      <w:pPr>
        <w:spacing w:after="40" w:line="240" w:lineRule="auto"/>
        <w:ind w:left="709"/>
        <w:rPr>
          <w:rFonts w:ascii="Times New Roman" w:eastAsia="Times New Roman" w:hAnsi="Times New Roman"/>
          <w:sz w:val="24"/>
          <w:szCs w:val="24"/>
          <w:lang w:val="fr-FR" w:eastAsia="fr-BE"/>
        </w:rPr>
      </w:pPr>
      <w:r w:rsidRPr="008F06DF">
        <w:rPr>
          <w:noProof/>
          <w:lang w:eastAsia="fr-BE"/>
        </w:rPr>
        <w:drawing>
          <wp:anchor distT="0" distB="0" distL="114300" distR="114300" simplePos="0" relativeHeight="251659264" behindDoc="1" locked="0" layoutInCell="1" allowOverlap="1" wp14:anchorId="0BB1DAE9" wp14:editId="4127E074">
            <wp:simplePos x="0" y="0"/>
            <wp:positionH relativeFrom="column">
              <wp:posOffset>2773045</wp:posOffset>
            </wp:positionH>
            <wp:positionV relativeFrom="paragraph">
              <wp:posOffset>8890</wp:posOffset>
            </wp:positionV>
            <wp:extent cx="1076325" cy="1076325"/>
            <wp:effectExtent l="0" t="0" r="9525" b="9525"/>
            <wp:wrapNone/>
            <wp:docPr id="1" name="Image 1"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lang w:val="fr-FR" w:eastAsia="fr-BE"/>
        </w:rPr>
        <w:t xml:space="preserve">                Le Directeur </w:t>
      </w:r>
      <w:proofErr w:type="gramStart"/>
      <w:r>
        <w:rPr>
          <w:rFonts w:ascii="Times New Roman" w:eastAsia="Times New Roman" w:hAnsi="Times New Roman"/>
          <w:sz w:val="24"/>
          <w:szCs w:val="24"/>
          <w:lang w:val="fr-FR" w:eastAsia="fr-BE"/>
        </w:rPr>
        <w:t xml:space="preserve">général,   </w:t>
      </w:r>
      <w:proofErr w:type="gramEnd"/>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L</w:t>
      </w:r>
      <w:r>
        <w:rPr>
          <w:rFonts w:ascii="Times New Roman" w:eastAsia="Times New Roman" w:hAnsi="Times New Roman"/>
          <w:sz w:val="24"/>
          <w:szCs w:val="24"/>
          <w:lang w:val="fr-FR" w:eastAsia="fr-BE"/>
        </w:rPr>
        <w:t>a</w:t>
      </w:r>
      <w:r w:rsidRPr="00A36324">
        <w:rPr>
          <w:rFonts w:ascii="Times New Roman" w:eastAsia="Times New Roman" w:hAnsi="Times New Roman"/>
          <w:sz w:val="24"/>
          <w:szCs w:val="24"/>
          <w:lang w:val="fr-FR" w:eastAsia="fr-BE"/>
        </w:rPr>
        <w:t xml:space="preserve"> Bourgmestre</w:t>
      </w:r>
      <w:r>
        <w:rPr>
          <w:rFonts w:ascii="Times New Roman" w:eastAsia="Times New Roman" w:hAnsi="Times New Roman"/>
          <w:sz w:val="24"/>
          <w:szCs w:val="24"/>
          <w:lang w:val="fr-FR" w:eastAsia="fr-BE"/>
        </w:rPr>
        <w:t xml:space="preserve"> </w:t>
      </w:r>
      <w:proofErr w:type="spellStart"/>
      <w:r>
        <w:rPr>
          <w:rFonts w:ascii="Times New Roman" w:eastAsia="Times New Roman" w:hAnsi="Times New Roman"/>
          <w:sz w:val="24"/>
          <w:szCs w:val="24"/>
          <w:lang w:val="fr-FR" w:eastAsia="fr-BE"/>
        </w:rPr>
        <w:t>f.f</w:t>
      </w:r>
      <w:proofErr w:type="spellEnd"/>
      <w:r>
        <w:rPr>
          <w:rFonts w:ascii="Times New Roman" w:eastAsia="Times New Roman" w:hAnsi="Times New Roman"/>
          <w:sz w:val="24"/>
          <w:szCs w:val="24"/>
          <w:lang w:val="fr-FR" w:eastAsia="fr-BE"/>
        </w:rPr>
        <w:t xml:space="preserve">.,   </w:t>
      </w:r>
    </w:p>
    <w:p w:rsidR="00340596" w:rsidRDefault="00340596" w:rsidP="00340596">
      <w:pPr>
        <w:spacing w:after="40" w:line="240" w:lineRule="auto"/>
        <w:ind w:left="709"/>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340596" w:rsidRDefault="00340596" w:rsidP="00340596">
      <w:pPr>
        <w:spacing w:after="120" w:line="240" w:lineRule="auto"/>
        <w:ind w:left="1001" w:firstLine="415"/>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w:t>
      </w:r>
    </w:p>
    <w:p w:rsidR="00340596" w:rsidRPr="00D254F8" w:rsidRDefault="00340596" w:rsidP="00340596">
      <w:pPr>
        <w:spacing w:after="120" w:line="240" w:lineRule="auto"/>
        <w:ind w:left="1416"/>
        <w:rPr>
          <w:rFonts w:ascii="Times New Roman" w:eastAsia="Times New Roman" w:hAnsi="Times New Roman"/>
          <w:sz w:val="24"/>
          <w:szCs w:val="24"/>
          <w:lang w:val="fr-FR" w:eastAsia="fr-BE"/>
        </w:rPr>
      </w:pPr>
      <w:r>
        <w:rPr>
          <w:rFonts w:ascii="Times New Roman" w:eastAsia="Times New Roman" w:hAnsi="Times New Roman"/>
          <w:sz w:val="24"/>
          <w:szCs w:val="24"/>
          <w:lang w:val="fr-FR" w:eastAsia="fr-BE"/>
        </w:rPr>
        <w:t xml:space="preserve">    Pierre CHRISTIAENS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 xml:space="preserve">      </w:t>
      </w:r>
      <w:r w:rsidRPr="00A36324">
        <w:rPr>
          <w:rFonts w:ascii="Times New Roman" w:eastAsia="Times New Roman" w:hAnsi="Times New Roman"/>
          <w:sz w:val="24"/>
          <w:szCs w:val="24"/>
          <w:lang w:val="fr-FR" w:eastAsia="fr-BE"/>
        </w:rPr>
        <w:t xml:space="preserve">  </w:t>
      </w:r>
      <w:r>
        <w:rPr>
          <w:rFonts w:ascii="Times New Roman" w:eastAsia="Times New Roman" w:hAnsi="Times New Roman"/>
          <w:sz w:val="24"/>
          <w:szCs w:val="24"/>
          <w:lang w:val="fr-FR" w:eastAsia="fr-BE"/>
        </w:rPr>
        <w:t>Marie-Cécile BRUWIER</w:t>
      </w:r>
    </w:p>
    <w:p w:rsidR="00340596" w:rsidRDefault="00340596" w:rsidP="00340596"/>
    <w:p w:rsidR="00340596" w:rsidRDefault="00340596" w:rsidP="00340596"/>
    <w:p w:rsidR="00340596" w:rsidRDefault="00340596" w:rsidP="00340596"/>
    <w:p w:rsidR="00664BA9" w:rsidRDefault="00F51567"/>
    <w:sectPr w:rsidR="00664BA9" w:rsidSect="006A6C5E">
      <w:pgSz w:w="11906" w:h="16838"/>
      <w:pgMar w:top="709" w:right="926"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7850"/>
    <w:multiLevelType w:val="hybridMultilevel"/>
    <w:tmpl w:val="D18C84D4"/>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96"/>
    <w:rsid w:val="000C4E68"/>
    <w:rsid w:val="000F39A0"/>
    <w:rsid w:val="001A1621"/>
    <w:rsid w:val="00340596"/>
    <w:rsid w:val="008D499D"/>
    <w:rsid w:val="0098314A"/>
    <w:rsid w:val="00B21D5A"/>
    <w:rsid w:val="00F51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7280"/>
  <w15:chartTrackingRefBased/>
  <w15:docId w15:val="{E2198035-74FE-4E88-9E23-CAF1176A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9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0596"/>
    <w:pPr>
      <w:spacing w:after="0" w:line="240" w:lineRule="auto"/>
      <w:ind w:left="720"/>
      <w:contextualSpacing/>
    </w:pPr>
    <w:rPr>
      <w:rFonts w:ascii="Times New Roman" w:eastAsia="Times New Roman" w:hAnsi="Times New Roman"/>
      <w:sz w:val="20"/>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Civadis</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Christiaens</dc:creator>
  <cp:keywords/>
  <dc:description/>
  <cp:lastModifiedBy>Pierre Christiaens</cp:lastModifiedBy>
  <cp:revision>3</cp:revision>
  <dcterms:created xsi:type="dcterms:W3CDTF">2023-04-26T11:36:00Z</dcterms:created>
  <dcterms:modified xsi:type="dcterms:W3CDTF">2023-04-26T12:15:00Z</dcterms:modified>
</cp:coreProperties>
</file>